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B2160F" w:rsidRPr="00083315" w:rsidRDefault="00B2160F" w:rsidP="00B2160F">
      <w:pPr>
        <w:pStyle w:val="2"/>
        <w:tabs>
          <w:tab w:val="left" w:pos="0"/>
        </w:tabs>
        <w:ind w:left="0" w:firstLine="0"/>
        <w:jc w:val="center"/>
        <w:rPr>
          <w:i/>
          <w:color w:val="5B9BD5"/>
          <w:lang w:val="el-GR"/>
        </w:rPr>
      </w:pPr>
      <w:bookmarkStart w:id="0" w:name="_Toc494187904"/>
      <w:bookmarkStart w:id="1" w:name="_Toc500316698"/>
      <w:r>
        <w:rPr>
          <w:lang w:val="el-GR"/>
        </w:rPr>
        <w:t>ΠΑΡΑΡΤΗΜΑ Ι</w:t>
      </w:r>
      <w:r>
        <w:t>V</w:t>
      </w:r>
      <w:r>
        <w:rPr>
          <w:lang w:val="el-GR"/>
        </w:rPr>
        <w:t xml:space="preserve"> – Υπόδειγμα Οικονομικής Προσφοράς</w:t>
      </w:r>
      <w:bookmarkEnd w:id="0"/>
      <w:bookmarkEnd w:id="1"/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B2160F" w:rsidRPr="004329CB" w:rsidRDefault="00B2160F" w:rsidP="00B2160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B2160F" w:rsidRPr="004329CB" w:rsidRDefault="00B2160F" w:rsidP="00B2160F">
      <w:pPr>
        <w:pStyle w:val="normalwithoutspacing"/>
        <w:rPr>
          <w:szCs w:val="22"/>
        </w:rPr>
      </w:pPr>
    </w:p>
    <w:p w:rsidR="00B2160F" w:rsidRPr="004329CB" w:rsidRDefault="00B2160F" w:rsidP="00B2160F">
      <w:pPr>
        <w:pStyle w:val="normalwithoutspacing"/>
        <w:jc w:val="center"/>
        <w:rPr>
          <w:b/>
          <w:szCs w:val="22"/>
        </w:rPr>
      </w:pPr>
    </w:p>
    <w:p w:rsidR="00B2160F" w:rsidRPr="004329CB" w:rsidRDefault="00B2160F" w:rsidP="00B2160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B2160F" w:rsidRPr="004329CB" w:rsidRDefault="00B2160F" w:rsidP="00B2160F">
      <w:pPr>
        <w:pStyle w:val="normalwithoutspacing"/>
        <w:rPr>
          <w:szCs w:val="22"/>
        </w:rPr>
      </w:pPr>
    </w:p>
    <w:p w:rsidR="00B2160F" w:rsidRPr="004329CB" w:rsidRDefault="00B2160F" w:rsidP="00B2160F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</w:t>
      </w:r>
      <w:r>
        <w:rPr>
          <w:szCs w:val="22"/>
        </w:rPr>
        <w:t>οικονομική άποψη προσφορά βάσει</w:t>
      </w:r>
      <w:r w:rsidRPr="004329CB">
        <w:rPr>
          <w:szCs w:val="22"/>
        </w:rPr>
        <w:t xml:space="preserve"> τιμής για </w:t>
      </w:r>
      <w:r>
        <w:rPr>
          <w:szCs w:val="22"/>
        </w:rPr>
        <w:t xml:space="preserve">το έργο </w:t>
      </w:r>
      <w:r w:rsidRPr="004329CB">
        <w:rPr>
          <w:szCs w:val="22"/>
        </w:rPr>
        <w:t>«</w:t>
      </w:r>
      <w:r w:rsidRPr="009544FF">
        <w:rPr>
          <w:szCs w:val="22"/>
        </w:rPr>
        <w:t>ΑΝΤΙΚΑΤΑΣΤΑΣΗ ΚΟΥΦΩΜΑΤΩΝ ΣΕ ΚΤΗΡΙΑ ΤΟΥ ΓΕΩΠΟΝΙΚΟΥ ΠΑΝΕΠΙΣΤΗΜΙΟΥ ΑΘΗΝΩΝ</w:t>
      </w:r>
      <w:r w:rsidRPr="004329CB">
        <w:rPr>
          <w:szCs w:val="22"/>
        </w:rPr>
        <w:t xml:space="preserve">» 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9E6D42">
        <w:rPr>
          <w:szCs w:val="22"/>
        </w:rPr>
        <w:t>9600/04.12.2017</w:t>
      </w:r>
      <w:r w:rsidRPr="004329CB">
        <w:rPr>
          <w:szCs w:val="22"/>
        </w:rPr>
        <w:t xml:space="preserve"> διακήρυξη </w:t>
      </w:r>
    </w:p>
    <w:p w:rsidR="00B2160F" w:rsidRDefault="00B2160F" w:rsidP="00B2160F">
      <w:pPr>
        <w:pStyle w:val="normalwithoutspacing"/>
        <w:rPr>
          <w:color w:val="5B9BD5"/>
          <w:szCs w:val="22"/>
        </w:rPr>
      </w:pPr>
    </w:p>
    <w:p w:rsidR="00B2160F" w:rsidRPr="009544FF" w:rsidRDefault="00B2160F" w:rsidP="00B2160F">
      <w:pPr>
        <w:rPr>
          <w:lang w:val="el-GR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121"/>
        <w:gridCol w:w="2034"/>
        <w:gridCol w:w="1199"/>
        <w:gridCol w:w="1359"/>
        <w:gridCol w:w="1047"/>
        <w:gridCol w:w="1073"/>
        <w:gridCol w:w="1218"/>
      </w:tblGrid>
      <w:tr w:rsidR="00B2160F" w:rsidRPr="00BA2A66" w:rsidTr="00153707">
        <w:trPr>
          <w:trHeight w:val="480"/>
        </w:trPr>
        <w:tc>
          <w:tcPr>
            <w:tcW w:w="571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α/α</w:t>
            </w:r>
          </w:p>
        </w:tc>
        <w:tc>
          <w:tcPr>
            <w:tcW w:w="988" w:type="dxa"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Κωδικός</w:t>
            </w:r>
            <w:proofErr w:type="spellEnd"/>
            <w:r w:rsidRPr="00682D94">
              <w:rPr>
                <w:b/>
                <w:bCs/>
              </w:rPr>
              <w:t xml:space="preserve"> </w:t>
            </w:r>
            <w:proofErr w:type="spellStart"/>
            <w:r w:rsidRPr="00682D94">
              <w:rPr>
                <w:b/>
                <w:bCs/>
              </w:rPr>
              <w:t>Άρθρου</w:t>
            </w:r>
            <w:proofErr w:type="spellEnd"/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Είδος</w:t>
            </w:r>
            <w:proofErr w:type="spellEnd"/>
            <w:r w:rsidRPr="00682D94">
              <w:rPr>
                <w:b/>
                <w:bCs/>
              </w:rPr>
              <w:t xml:space="preserve"> </w:t>
            </w:r>
            <w:proofErr w:type="spellStart"/>
            <w:r w:rsidRPr="00682D94">
              <w:rPr>
                <w:b/>
                <w:bCs/>
              </w:rPr>
              <w:t>εργασίας</w:t>
            </w:r>
            <w:proofErr w:type="spellEnd"/>
          </w:p>
        </w:tc>
        <w:tc>
          <w:tcPr>
            <w:tcW w:w="1093" w:type="dxa"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Μονάδα</w:t>
            </w:r>
            <w:proofErr w:type="spellEnd"/>
            <w:r w:rsidRPr="00682D94">
              <w:rPr>
                <w:b/>
                <w:bCs/>
              </w:rPr>
              <w:t xml:space="preserve"> </w:t>
            </w:r>
            <w:proofErr w:type="spellStart"/>
            <w:r w:rsidRPr="00682D94">
              <w:rPr>
                <w:b/>
                <w:bCs/>
              </w:rPr>
              <w:t>μέτρησης</w:t>
            </w:r>
            <w:proofErr w:type="spellEnd"/>
          </w:p>
        </w:tc>
        <w:tc>
          <w:tcPr>
            <w:tcW w:w="1245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Διαστάσεις</w:t>
            </w:r>
            <w:proofErr w:type="spellEnd"/>
          </w:p>
        </w:tc>
        <w:tc>
          <w:tcPr>
            <w:tcW w:w="972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Τεμάχια</w:t>
            </w:r>
            <w:proofErr w:type="spellEnd"/>
          </w:p>
        </w:tc>
        <w:tc>
          <w:tcPr>
            <w:tcW w:w="1029" w:type="dxa"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Τιμή</w:t>
            </w:r>
            <w:proofErr w:type="spellEnd"/>
            <w:r w:rsidRPr="00682D94">
              <w:rPr>
                <w:b/>
                <w:bCs/>
              </w:rPr>
              <w:t xml:space="preserve"> </w:t>
            </w:r>
            <w:proofErr w:type="spellStart"/>
            <w:r w:rsidRPr="00682D94">
              <w:rPr>
                <w:b/>
                <w:bCs/>
              </w:rPr>
              <w:t>μονάδας</w:t>
            </w:r>
            <w:proofErr w:type="spellEnd"/>
          </w:p>
        </w:tc>
        <w:tc>
          <w:tcPr>
            <w:tcW w:w="121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proofErr w:type="spellStart"/>
            <w:r w:rsidRPr="00682D94">
              <w:rPr>
                <w:b/>
                <w:bCs/>
              </w:rPr>
              <w:t>Δαπάνη</w:t>
            </w:r>
            <w:proofErr w:type="spellEnd"/>
          </w:p>
        </w:tc>
      </w:tr>
      <w:tr w:rsidR="00B2160F" w:rsidRPr="00BA2A66" w:rsidTr="00153707">
        <w:trPr>
          <w:trHeight w:val="73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Α.Τ.1</w:t>
            </w:r>
          </w:p>
        </w:tc>
        <w:tc>
          <w:tcPr>
            <w:tcW w:w="1936" w:type="dxa"/>
            <w:hideMark/>
          </w:tcPr>
          <w:p w:rsidR="00B2160F" w:rsidRPr="00BA2A66" w:rsidRDefault="00B2160F" w:rsidP="00153707">
            <w:proofErr w:type="spellStart"/>
            <w:r w:rsidRPr="00BA2A66">
              <w:t>Αποξηλώσεις</w:t>
            </w:r>
            <w:proofErr w:type="spellEnd"/>
            <w:r w:rsidRPr="00BA2A66">
              <w:t xml:space="preserve"> - </w:t>
            </w:r>
            <w:proofErr w:type="spellStart"/>
            <w:r w:rsidRPr="00BA2A66">
              <w:t>Μεταφορές</w:t>
            </w:r>
            <w:proofErr w:type="spellEnd"/>
            <w:r w:rsidRPr="00BA2A66">
              <w:t xml:space="preserve"> -</w:t>
            </w:r>
            <w:proofErr w:type="spellStart"/>
            <w:r w:rsidRPr="00BA2A66">
              <w:t>Αποκαταστάσεις</w:t>
            </w:r>
            <w:proofErr w:type="spellEnd"/>
          </w:p>
        </w:tc>
        <w:tc>
          <w:tcPr>
            <w:tcW w:w="1093" w:type="dxa"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 </w:t>
            </w:r>
          </w:p>
        </w:tc>
        <w:tc>
          <w:tcPr>
            <w:tcW w:w="1245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 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</w:tcPr>
          <w:p w:rsidR="00B2160F" w:rsidRPr="00BA2A66" w:rsidRDefault="00B2160F" w:rsidP="00153707"/>
        </w:tc>
      </w:tr>
      <w:tr w:rsidR="00B2160F" w:rsidRPr="00BA2A66" w:rsidTr="00153707">
        <w:trPr>
          <w:trHeight w:val="193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Α.Τ.2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Υαλοστάσια αλουμινίου μεμονωμένα</w:t>
            </w:r>
            <w:r w:rsidRPr="00682D94">
              <w:rPr>
                <w:u w:val="single"/>
                <w:lang w:val="el-GR"/>
              </w:rPr>
              <w:t xml:space="preserve"> </w:t>
            </w:r>
            <w:r w:rsidRPr="00682D94">
              <w:rPr>
                <w:lang w:val="el-GR"/>
              </w:rPr>
              <w:t xml:space="preserve">δίφυλλα,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/ </w:t>
            </w:r>
            <w:proofErr w:type="spellStart"/>
            <w:r w:rsidRPr="00682D94">
              <w:rPr>
                <w:lang w:val="el-GR"/>
              </w:rPr>
              <w:t>ανακλινόμενα</w:t>
            </w:r>
            <w:proofErr w:type="spellEnd"/>
            <w:r w:rsidRPr="00682D94">
              <w:rPr>
                <w:lang w:val="el-GR"/>
              </w:rPr>
              <w:t xml:space="preserve"> περί κατακόρυφο ή οριζόντιο </w:t>
            </w:r>
            <w:proofErr w:type="spellStart"/>
            <w:r w:rsidRPr="00682D94">
              <w:rPr>
                <w:lang w:val="el-GR"/>
              </w:rPr>
              <w:t>άξονα,με</w:t>
            </w:r>
            <w:proofErr w:type="spellEnd"/>
            <w:r w:rsidRPr="00682D94">
              <w:rPr>
                <w:lang w:val="el-GR"/>
              </w:rPr>
              <w:t xml:space="preserve"> σταθερό φεγγίτη και σταθερό τμήμα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2,65 Χ 2,15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94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92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Α.Τ.3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Υαλοστάσια αλουμινίου μεμονωμένα δίφυλλα,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/ </w:t>
            </w:r>
            <w:proofErr w:type="spellStart"/>
            <w:r w:rsidRPr="00682D94">
              <w:rPr>
                <w:lang w:val="el-GR"/>
              </w:rPr>
              <w:t>ανακλινόμενα</w:t>
            </w:r>
            <w:proofErr w:type="spellEnd"/>
            <w:r w:rsidRPr="00682D94">
              <w:rPr>
                <w:lang w:val="el-GR"/>
              </w:rPr>
              <w:t xml:space="preserve"> περί κατακόρυφο ή οριζόντιο </w:t>
            </w:r>
            <w:proofErr w:type="spellStart"/>
            <w:r w:rsidRPr="00682D94">
              <w:rPr>
                <w:lang w:val="el-GR"/>
              </w:rPr>
              <w:t>άξονα,με</w:t>
            </w:r>
            <w:proofErr w:type="spellEnd"/>
            <w:r w:rsidRPr="00682D94">
              <w:rPr>
                <w:lang w:val="el-GR"/>
              </w:rPr>
              <w:t xml:space="preserve"> σταθερό φεγγίτη και σταθερό τμήμα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2,70 Χ 2,15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85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5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4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Α.Τ.4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2,70 Χ3,00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8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5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5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Α.Τ.5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3,00 Χ3,00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6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4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6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Α.Τ.6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Υαλόθυρες</w:t>
            </w:r>
            <w:proofErr w:type="spellEnd"/>
            <w:r w:rsidRPr="00682D94">
              <w:rPr>
                <w:lang w:val="el-GR"/>
              </w:rPr>
              <w:t xml:space="preserve"> αλουμινίου </w:t>
            </w:r>
            <w:proofErr w:type="spellStart"/>
            <w:r w:rsidRPr="00682D94">
              <w:rPr>
                <w:lang w:val="el-GR"/>
              </w:rPr>
              <w:t>ανοιγόμενες</w:t>
            </w:r>
            <w:proofErr w:type="spellEnd"/>
            <w:r w:rsidRPr="00682D94">
              <w:rPr>
                <w:lang w:val="el-GR"/>
              </w:rPr>
              <w:t xml:space="preserve"> τετράφυλλες, με δύο φύλλα σταθερά και δύο κινητά με σταθερό φεγγίτη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2,70 Χ 3,00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4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7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Α.Τ.7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Υαλόθυρες</w:t>
            </w:r>
            <w:proofErr w:type="spellEnd"/>
            <w:r w:rsidRPr="00682D94">
              <w:rPr>
                <w:lang w:val="el-GR"/>
              </w:rPr>
              <w:t xml:space="preserve"> αλουμινίου </w:t>
            </w:r>
            <w:proofErr w:type="spellStart"/>
            <w:r w:rsidRPr="00682D94">
              <w:rPr>
                <w:lang w:val="el-GR"/>
              </w:rPr>
              <w:t>ανοιγόμενες</w:t>
            </w:r>
            <w:proofErr w:type="spellEnd"/>
            <w:r w:rsidRPr="00682D94">
              <w:rPr>
                <w:lang w:val="el-GR"/>
              </w:rPr>
              <w:t xml:space="preserve"> τετράφυλλες, με δύο φύλλα σταθερά και δύο κινητά με σταθερό φεγγίτη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3,20 Χ 3,00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4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69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8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11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Υαλοστάσια αλουμινίου μεμονωμένα δίφυλλα, με σταθερό φεγγίτη,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, </w:t>
            </w:r>
            <w:proofErr w:type="spellStart"/>
            <w:r w:rsidRPr="00682D94">
              <w:rPr>
                <w:lang w:val="el-GR"/>
              </w:rPr>
              <w:t>ανακλινόμενα,περί</w:t>
            </w:r>
            <w:proofErr w:type="spellEnd"/>
            <w:r w:rsidRPr="00682D94">
              <w:rPr>
                <w:lang w:val="el-GR"/>
              </w:rPr>
              <w:t xml:space="preserve"> κατακόρυφο ή οριζόντιο άξονα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1,50 Χ 2,50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10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5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9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12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Υαλοστάσια αλουμινίου μεμονωμένα δίφυλλα, με σταθερό φεγγίτη,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περί κατακόρυφο ή </w:t>
            </w:r>
            <w:r w:rsidRPr="00682D94">
              <w:rPr>
                <w:lang w:val="el-GR"/>
              </w:rPr>
              <w:lastRenderedPageBreak/>
              <w:t xml:space="preserve">οριζόντιο άξονα και </w:t>
            </w:r>
            <w:proofErr w:type="spellStart"/>
            <w:r w:rsidRPr="00682D94">
              <w:rPr>
                <w:lang w:val="el-GR"/>
              </w:rPr>
              <w:t>ανακλινόμενα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BA2A66">
              <w:lastRenderedPageBreak/>
              <w:t> 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1,35 Χ 2,15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5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10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13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Υαλοστάσια αλουμινίου μεμονωμένα δίφυλλα, χωρίς φεγγίτη,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περί κατακόρυφο ή οριζόντιο άξονα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1,10 Χ 1,30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5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11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8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Υαλοστάσια αλουμινίου μεμονωμένα μονόφυλλα, με σταθερό φεγγίτη,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περί κατακόρυφο ή οριζόντιο άξονα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2,65 Χ 0,70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48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12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9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Υαλοστάσια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αλουμινίου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μεμονωμένα</w:t>
            </w:r>
            <w:proofErr w:type="spellEnd"/>
            <w:r w:rsidRPr="00BA2A66">
              <w:t xml:space="preserve">  </w:t>
            </w:r>
            <w:proofErr w:type="spellStart"/>
            <w:r w:rsidRPr="00BA2A66">
              <w:t>σταθερά</w:t>
            </w:r>
            <w:proofErr w:type="spellEnd"/>
            <w:r w:rsidRPr="00BA2A66">
              <w:t xml:space="preserve">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2,65 Χ 0,70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8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49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13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10</w:t>
            </w:r>
          </w:p>
        </w:tc>
        <w:tc>
          <w:tcPr>
            <w:tcW w:w="1936" w:type="dxa"/>
            <w:hideMark/>
          </w:tcPr>
          <w:p w:rsidR="00B2160F" w:rsidRPr="00BA2A66" w:rsidRDefault="00B2160F" w:rsidP="00153707">
            <w:proofErr w:type="spellStart"/>
            <w:r w:rsidRPr="00BA2A66">
              <w:t>Υαλοστάσια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αλουμινίου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μεμονωμένα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σταθερά</w:t>
            </w:r>
            <w:proofErr w:type="spellEnd"/>
            <w:r w:rsidRPr="00BA2A66">
              <w:t xml:space="preserve">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4,30 Χ 0,50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144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14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14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Υαλόθυρες</w:t>
            </w:r>
            <w:proofErr w:type="spellEnd"/>
            <w:r w:rsidRPr="00682D94">
              <w:rPr>
                <w:lang w:val="el-GR"/>
              </w:rPr>
              <w:t xml:space="preserve"> αλουμινίου </w:t>
            </w:r>
            <w:proofErr w:type="spellStart"/>
            <w:r w:rsidRPr="00682D94">
              <w:rPr>
                <w:lang w:val="el-GR"/>
              </w:rPr>
              <w:t>ανοιγόμενες</w:t>
            </w:r>
            <w:proofErr w:type="spellEnd"/>
            <w:r w:rsidRPr="00682D94">
              <w:rPr>
                <w:lang w:val="el-GR"/>
              </w:rPr>
              <w:t xml:space="preserve"> από ηλεκτροστατικά βαμμένο αλουμίνιο δίφυλλες, χωρίς φεγγίτη, με αμμοβολή κρυστάλλων.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1,70 Χ 2,30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21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15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15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και διπλοί υαλοπίνακες με </w:t>
            </w:r>
            <w:r w:rsidRPr="00682D94">
              <w:rPr>
                <w:lang w:val="el-GR"/>
              </w:rPr>
              <w:lastRenderedPageBreak/>
              <w:t xml:space="preserve">διακοσμητική αμμοβολή. 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4,30 Χ 2,65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216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16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16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και διπλοί υαλοπίνακες με διακοσμητική αμμοβολή. 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0,70 Χ2,30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216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17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17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και διπλοί υαλοπίνακες με διακοσμητική αμμοβολή.  </w:t>
            </w:r>
          </w:p>
        </w:tc>
        <w:tc>
          <w:tcPr>
            <w:tcW w:w="1093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BA2A66">
              <w:t> 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1,70 Χ0,70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21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18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18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Σύστημα συνεχούς </w:t>
            </w:r>
            <w:proofErr w:type="spellStart"/>
            <w:r w:rsidRPr="00682D94">
              <w:rPr>
                <w:lang w:val="el-GR"/>
              </w:rPr>
              <w:t>υαλοπετάσματος</w:t>
            </w:r>
            <w:proofErr w:type="spellEnd"/>
            <w:r w:rsidRPr="00682D94">
              <w:rPr>
                <w:lang w:val="el-GR"/>
              </w:rPr>
              <w:t xml:space="preserve"> όψεων κτηρίου από αλουμίνιο, σταθερού, με εμφανή διατομή αλουμινίου μεταξύ των υαλοπινάκων και διπλοί υαλοπίνακες με διακοσμητική αμμοβολή. 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1,70 Χ0,90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6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19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19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Υαλοστάσια αλουμινίου μεμονωμένα</w:t>
            </w:r>
            <w:r w:rsidRPr="00682D94">
              <w:rPr>
                <w:u w:val="single"/>
                <w:lang w:val="el-GR"/>
              </w:rPr>
              <w:t xml:space="preserve"> </w:t>
            </w:r>
            <w:r w:rsidRPr="00682D94">
              <w:rPr>
                <w:lang w:val="el-GR"/>
              </w:rPr>
              <w:t xml:space="preserve">μονόφυλλα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περί οριζόντιο άξονα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0,85 Χ0,50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6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20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20</w:t>
            </w:r>
          </w:p>
        </w:tc>
        <w:tc>
          <w:tcPr>
            <w:tcW w:w="1936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Υαλοστάσια αλουμινίου μεμονωμένα</w:t>
            </w:r>
            <w:r w:rsidRPr="00682D94">
              <w:rPr>
                <w:u w:val="single"/>
                <w:lang w:val="el-GR"/>
              </w:rPr>
              <w:t xml:space="preserve"> </w:t>
            </w:r>
            <w:r w:rsidRPr="00682D94">
              <w:rPr>
                <w:lang w:val="el-GR"/>
              </w:rPr>
              <w:t xml:space="preserve">μονόφυλλα </w:t>
            </w:r>
            <w:proofErr w:type="spellStart"/>
            <w:r w:rsidRPr="00682D94">
              <w:rPr>
                <w:lang w:val="el-GR"/>
              </w:rPr>
              <w:t>ανοιγόμενα</w:t>
            </w:r>
            <w:proofErr w:type="spellEnd"/>
            <w:r w:rsidRPr="00682D94">
              <w:rPr>
                <w:lang w:val="el-GR"/>
              </w:rPr>
              <w:t xml:space="preserve"> περί οριζόντιο άξονα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1,10 Χ 0,50 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4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73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21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21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Χειρολαβή (μπάρα) πανικού δίφυλλης θύρας και πόμολο πανικού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proofErr w:type="spellStart"/>
            <w:proofErr w:type="gramStart"/>
            <w:r w:rsidRPr="00BA2A66">
              <w:t>τεμ</w:t>
            </w:r>
            <w:proofErr w:type="spellEnd"/>
            <w:proofErr w:type="gramEnd"/>
            <w:r w:rsidRPr="00BA2A66">
              <w:t>.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 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7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73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22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22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Πανέλο</w:t>
            </w:r>
            <w:proofErr w:type="spellEnd"/>
            <w:r w:rsidRPr="00682D94">
              <w:rPr>
                <w:lang w:val="el-GR"/>
              </w:rPr>
              <w:t xml:space="preserve"> από φύλλο αλουμινίου, ηλεκτροστατικά βαμμένο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0,65 Χ 0,70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33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73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23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23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Πανέλο</w:t>
            </w:r>
            <w:proofErr w:type="spellEnd"/>
            <w:r w:rsidRPr="00682D94">
              <w:rPr>
                <w:lang w:val="el-GR"/>
              </w:rPr>
              <w:t xml:space="preserve"> από φύλλο αλουμινίου, ηλεκτροστατικά βαμμένο 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0,75 Χ 0,80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24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24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proofErr w:type="spellStart"/>
            <w:r w:rsidRPr="00682D94">
              <w:rPr>
                <w:lang w:val="el-GR"/>
              </w:rPr>
              <w:t>Πανέλο</w:t>
            </w:r>
            <w:proofErr w:type="spellEnd"/>
            <w:r w:rsidRPr="00682D94">
              <w:rPr>
                <w:lang w:val="el-GR"/>
              </w:rPr>
              <w:t xml:space="preserve"> από φύλλο αλουμινίου, καφέ χρώματος, ηλεκτροστατικά βαμμένο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0,70 Χ 0,60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25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25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Κινητές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0,70 Χ 1,45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358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26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26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Κινητές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1,50 Χ 1,70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10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27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27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Κινητές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1,35Χ 1,55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</w:t>
            </w:r>
          </w:p>
        </w:tc>
        <w:tc>
          <w:tcPr>
            <w:tcW w:w="1029" w:type="dxa"/>
            <w:noWrap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28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28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Σταθερές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1,30 Χ 0,70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29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29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Σταθερές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0,85 Χ 0,50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30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30</w:t>
            </w:r>
          </w:p>
        </w:tc>
        <w:tc>
          <w:tcPr>
            <w:tcW w:w="1936" w:type="dxa"/>
            <w:noWrap/>
            <w:hideMark/>
          </w:tcPr>
          <w:p w:rsidR="00B2160F" w:rsidRPr="00BA2A66" w:rsidRDefault="00B2160F" w:rsidP="00153707">
            <w:proofErr w:type="spellStart"/>
            <w:r w:rsidRPr="00BA2A66">
              <w:t>Σταθερές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σίτες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αερισμού</w:t>
            </w:r>
            <w:proofErr w:type="spellEnd"/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1,10 Χ 0,50 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4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49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31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31</w:t>
            </w:r>
          </w:p>
        </w:tc>
        <w:tc>
          <w:tcPr>
            <w:tcW w:w="1936" w:type="dxa"/>
            <w:hideMark/>
          </w:tcPr>
          <w:p w:rsidR="00B2160F" w:rsidRPr="00BA2A66" w:rsidRDefault="00B2160F" w:rsidP="00153707">
            <w:proofErr w:type="spellStart"/>
            <w:r w:rsidRPr="00BA2A66">
              <w:t>Ηλεκτρικός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μηχανισμός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ανοίγματος</w:t>
            </w:r>
            <w:proofErr w:type="spellEnd"/>
            <w:r w:rsidRPr="00BA2A66">
              <w:t xml:space="preserve"> </w:t>
            </w:r>
            <w:proofErr w:type="spellStart"/>
            <w:r w:rsidRPr="00BA2A66">
              <w:t>παραθύρων</w:t>
            </w:r>
            <w:proofErr w:type="spellEnd"/>
          </w:p>
        </w:tc>
        <w:tc>
          <w:tcPr>
            <w:tcW w:w="1093" w:type="dxa"/>
            <w:hideMark/>
          </w:tcPr>
          <w:p w:rsidR="00B2160F" w:rsidRPr="00BA2A66" w:rsidRDefault="00B2160F" w:rsidP="00153707">
            <w:proofErr w:type="spellStart"/>
            <w:proofErr w:type="gramStart"/>
            <w:r w:rsidRPr="00BA2A66">
              <w:t>τεμ</w:t>
            </w:r>
            <w:proofErr w:type="spellEnd"/>
            <w:proofErr w:type="gramEnd"/>
            <w:r w:rsidRPr="00BA2A66">
              <w:t>.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 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32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32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 xml:space="preserve">Εσωτερικό </w:t>
            </w:r>
            <w:proofErr w:type="spellStart"/>
            <w:r w:rsidRPr="00682D94">
              <w:rPr>
                <w:lang w:val="el-GR"/>
              </w:rPr>
              <w:t>πέτασμα</w:t>
            </w:r>
            <w:proofErr w:type="spellEnd"/>
            <w:r w:rsidRPr="00682D94">
              <w:rPr>
                <w:lang w:val="el-GR"/>
              </w:rPr>
              <w:t xml:space="preserve"> </w:t>
            </w:r>
            <w:proofErr w:type="spellStart"/>
            <w:r w:rsidRPr="00682D94">
              <w:rPr>
                <w:lang w:val="el-GR"/>
              </w:rPr>
              <w:t>ηλιοπροστασίας</w:t>
            </w:r>
            <w:proofErr w:type="spellEnd"/>
            <w:r w:rsidRPr="00682D94">
              <w:rPr>
                <w:lang w:val="el-GR"/>
              </w:rPr>
              <w:t xml:space="preserve"> τύπου </w:t>
            </w:r>
            <w:proofErr w:type="spellStart"/>
            <w:r w:rsidRPr="00682D94">
              <w:rPr>
                <w:lang w:val="el-GR"/>
              </w:rPr>
              <w:t>ρόλλερ</w:t>
            </w:r>
            <w:proofErr w:type="spellEnd"/>
            <w:r w:rsidRPr="00682D94">
              <w:rPr>
                <w:lang w:val="el-GR"/>
              </w:rPr>
              <w:t xml:space="preserve"> με </w:t>
            </w:r>
            <w:r w:rsidRPr="00682D94">
              <w:rPr>
                <w:lang w:val="el-GR"/>
              </w:rPr>
              <w:lastRenderedPageBreak/>
              <w:t>διάτρητο ύφασμα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 xml:space="preserve">2,65 Χ 2,15 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30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60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lastRenderedPageBreak/>
              <w:t>33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33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Προπετάσματα (</w:t>
            </w:r>
            <w:proofErr w:type="spellStart"/>
            <w:r w:rsidRPr="00682D94">
              <w:rPr>
                <w:lang w:val="el-GR"/>
              </w:rPr>
              <w:t>ρολλά</w:t>
            </w:r>
            <w:proofErr w:type="spellEnd"/>
            <w:r w:rsidRPr="00682D94">
              <w:rPr>
                <w:lang w:val="el-GR"/>
              </w:rPr>
              <w:t>) αλουμινίου για παράθυρα, διάτρητα, καφέ χρώματος.</w:t>
            </w:r>
          </w:p>
        </w:tc>
        <w:tc>
          <w:tcPr>
            <w:tcW w:w="1093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BA2A66">
              <w:t> </w:t>
            </w:r>
          </w:p>
        </w:tc>
        <w:tc>
          <w:tcPr>
            <w:tcW w:w="1245" w:type="dxa"/>
            <w:noWrap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BA2A66">
              <w:t> 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34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34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Προπετάσματα (</w:t>
            </w:r>
            <w:proofErr w:type="spellStart"/>
            <w:r w:rsidRPr="00682D94">
              <w:rPr>
                <w:lang w:val="el-GR"/>
              </w:rPr>
              <w:t>ρολλά</w:t>
            </w:r>
            <w:proofErr w:type="spellEnd"/>
            <w:r w:rsidRPr="00682D94">
              <w:rPr>
                <w:lang w:val="el-GR"/>
              </w:rPr>
              <w:t>) ξύλινα για ξύλινα παράθυρα, καφέ χρώματος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0,85 Χ2,35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2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975"/>
        </w:trPr>
        <w:tc>
          <w:tcPr>
            <w:tcW w:w="571" w:type="dxa"/>
            <w:noWrap/>
            <w:hideMark/>
          </w:tcPr>
          <w:p w:rsidR="00B2160F" w:rsidRPr="00BA2A66" w:rsidRDefault="00B2160F" w:rsidP="00153707">
            <w:r w:rsidRPr="00BA2A66">
              <w:t>35</w:t>
            </w:r>
          </w:p>
        </w:tc>
        <w:tc>
          <w:tcPr>
            <w:tcW w:w="988" w:type="dxa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Α.Τ. 35</w:t>
            </w:r>
          </w:p>
        </w:tc>
        <w:tc>
          <w:tcPr>
            <w:tcW w:w="1936" w:type="dxa"/>
            <w:hideMark/>
          </w:tcPr>
          <w:p w:rsidR="00B2160F" w:rsidRPr="00682D94" w:rsidRDefault="00B2160F" w:rsidP="00153707">
            <w:pPr>
              <w:rPr>
                <w:lang w:val="el-GR"/>
              </w:rPr>
            </w:pPr>
            <w:r w:rsidRPr="00682D94">
              <w:rPr>
                <w:lang w:val="el-GR"/>
              </w:rPr>
              <w:t>Προπετάσματα (</w:t>
            </w:r>
            <w:proofErr w:type="spellStart"/>
            <w:r w:rsidRPr="00682D94">
              <w:rPr>
                <w:lang w:val="el-GR"/>
              </w:rPr>
              <w:t>ρολλά</w:t>
            </w:r>
            <w:proofErr w:type="spellEnd"/>
            <w:r w:rsidRPr="00682D94">
              <w:rPr>
                <w:lang w:val="el-GR"/>
              </w:rPr>
              <w:t>) ξύλινα για ξύλινα παράθυρα, καφέ χρώματος</w:t>
            </w:r>
          </w:p>
        </w:tc>
        <w:tc>
          <w:tcPr>
            <w:tcW w:w="1093" w:type="dxa"/>
            <w:noWrap/>
            <w:hideMark/>
          </w:tcPr>
          <w:p w:rsidR="00B2160F" w:rsidRPr="00BA2A66" w:rsidRDefault="00B2160F" w:rsidP="00153707">
            <w:r w:rsidRPr="00BA2A66">
              <w:t>m</w:t>
            </w:r>
            <w:r w:rsidRPr="00682D94">
              <w:rPr>
                <w:vertAlign w:val="superscript"/>
              </w:rPr>
              <w:t>2</w:t>
            </w:r>
          </w:p>
        </w:tc>
        <w:tc>
          <w:tcPr>
            <w:tcW w:w="1245" w:type="dxa"/>
            <w:noWrap/>
            <w:hideMark/>
          </w:tcPr>
          <w:p w:rsidR="00B2160F" w:rsidRPr="00BA2A66" w:rsidRDefault="00B2160F" w:rsidP="00153707">
            <w:r w:rsidRPr="00BA2A66">
              <w:t>1,15 Χ 2,35</w:t>
            </w:r>
          </w:p>
        </w:tc>
        <w:tc>
          <w:tcPr>
            <w:tcW w:w="972" w:type="dxa"/>
            <w:noWrap/>
            <w:hideMark/>
          </w:tcPr>
          <w:p w:rsidR="00B2160F" w:rsidRPr="00BA2A66" w:rsidRDefault="00B2160F" w:rsidP="00153707">
            <w:r w:rsidRPr="00BA2A66">
              <w:t>1</w:t>
            </w:r>
          </w:p>
        </w:tc>
        <w:tc>
          <w:tcPr>
            <w:tcW w:w="1029" w:type="dxa"/>
          </w:tcPr>
          <w:p w:rsidR="00B2160F" w:rsidRPr="00BA2A66" w:rsidRDefault="00B2160F" w:rsidP="00153707"/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7834" w:type="dxa"/>
            <w:gridSpan w:val="7"/>
            <w:noWrap/>
            <w:hideMark/>
          </w:tcPr>
          <w:p w:rsidR="00B2160F" w:rsidRPr="00BA2A66" w:rsidRDefault="00B2160F" w:rsidP="00153707">
            <w:r w:rsidRPr="00BA2A66">
              <w:t>ΜΕΡΙΚΟ ΣΥΝΟΛΟ</w:t>
            </w:r>
          </w:p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7834" w:type="dxa"/>
            <w:gridSpan w:val="7"/>
            <w:noWrap/>
            <w:hideMark/>
          </w:tcPr>
          <w:p w:rsidR="00B2160F" w:rsidRPr="00BA2A66" w:rsidRDefault="00B2160F" w:rsidP="00153707">
            <w:r w:rsidRPr="00BA2A66">
              <w:t>ΦΠΑ 24%</w:t>
            </w:r>
          </w:p>
        </w:tc>
        <w:tc>
          <w:tcPr>
            <w:tcW w:w="1218" w:type="dxa"/>
            <w:noWrap/>
          </w:tcPr>
          <w:p w:rsidR="00B2160F" w:rsidRPr="00BA2A66" w:rsidRDefault="00B2160F" w:rsidP="00153707"/>
        </w:tc>
      </w:tr>
      <w:tr w:rsidR="00B2160F" w:rsidRPr="00BA2A66" w:rsidTr="00153707">
        <w:trPr>
          <w:trHeight w:val="300"/>
        </w:trPr>
        <w:tc>
          <w:tcPr>
            <w:tcW w:w="7834" w:type="dxa"/>
            <w:gridSpan w:val="7"/>
            <w:noWrap/>
            <w:hideMark/>
          </w:tcPr>
          <w:p w:rsidR="00B2160F" w:rsidRPr="00682D94" w:rsidRDefault="00B2160F" w:rsidP="00153707">
            <w:pPr>
              <w:rPr>
                <w:b/>
                <w:bCs/>
              </w:rPr>
            </w:pPr>
            <w:r w:rsidRPr="00682D94">
              <w:rPr>
                <w:b/>
                <w:bCs/>
              </w:rPr>
              <w:t>ΤΕΛΙΚΟ ΣΥΝΟΛΟ</w:t>
            </w:r>
          </w:p>
        </w:tc>
        <w:tc>
          <w:tcPr>
            <w:tcW w:w="1218" w:type="dxa"/>
            <w:noWrap/>
          </w:tcPr>
          <w:p w:rsidR="00B2160F" w:rsidRPr="00682D94" w:rsidRDefault="00B2160F" w:rsidP="00153707">
            <w:pPr>
              <w:rPr>
                <w:b/>
                <w:bCs/>
              </w:rPr>
            </w:pPr>
          </w:p>
        </w:tc>
      </w:tr>
    </w:tbl>
    <w:p w:rsidR="00B2160F" w:rsidRPr="006A6F34" w:rsidRDefault="00B2160F" w:rsidP="00B2160F"/>
    <w:p w:rsidR="00B2160F" w:rsidRDefault="00B2160F" w:rsidP="00B2160F">
      <w:pPr>
        <w:rPr>
          <w:b/>
        </w:rPr>
      </w:pPr>
    </w:p>
    <w:p w:rsidR="00B2160F" w:rsidRDefault="00B2160F" w:rsidP="00B2160F">
      <w:pPr>
        <w:pStyle w:val="normalwithoutspacing"/>
        <w:rPr>
          <w:color w:val="5B9BD5"/>
          <w:szCs w:val="22"/>
        </w:rPr>
      </w:pPr>
    </w:p>
    <w:p w:rsidR="00B2160F" w:rsidRPr="004329CB" w:rsidRDefault="00B2160F" w:rsidP="00B2160F">
      <w:pPr>
        <w:pStyle w:val="normalwithoutspacing"/>
        <w:rPr>
          <w:szCs w:val="22"/>
        </w:rPr>
      </w:pPr>
    </w:p>
    <w:p w:rsidR="00B2160F" w:rsidRPr="004329CB" w:rsidRDefault="00B2160F" w:rsidP="00B2160F">
      <w:pPr>
        <w:pStyle w:val="normalwithoutspacing"/>
        <w:rPr>
          <w:szCs w:val="22"/>
        </w:rPr>
      </w:pPr>
      <w:r w:rsidRPr="004329CB">
        <w:rPr>
          <w:szCs w:val="22"/>
        </w:rPr>
        <w:t>Η Προσφορά υποβάλλεται για το σύνολο του διαγωνισμού και ισχύει έως …/…/….</w:t>
      </w:r>
    </w:p>
    <w:p w:rsidR="00B2160F" w:rsidRPr="004329CB" w:rsidRDefault="00B2160F" w:rsidP="00B2160F">
      <w:pPr>
        <w:pStyle w:val="normalwithoutspacing"/>
        <w:rPr>
          <w:szCs w:val="22"/>
        </w:rPr>
      </w:pPr>
    </w:p>
    <w:p w:rsidR="00B2160F" w:rsidRPr="004329CB" w:rsidRDefault="00B2160F" w:rsidP="00B2160F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B2160F" w:rsidRDefault="00B2160F" w:rsidP="00B2160F">
      <w:pPr>
        <w:rPr>
          <w:lang w:val="el-GR"/>
        </w:rPr>
      </w:pPr>
    </w:p>
    <w:p w:rsidR="00B2160F" w:rsidRDefault="00B2160F" w:rsidP="00B2160F">
      <w:pPr>
        <w:rPr>
          <w:lang w:val="el-GR"/>
        </w:rPr>
      </w:pPr>
    </w:p>
    <w:p w:rsidR="00B2160F" w:rsidRDefault="00B2160F" w:rsidP="00B2160F">
      <w:pPr>
        <w:rPr>
          <w:lang w:val="el-GR"/>
        </w:rPr>
      </w:pPr>
    </w:p>
    <w:p w:rsidR="00B2160F" w:rsidRPr="00B2160F" w:rsidRDefault="00B2160F" w:rsidP="00B2160F">
      <w:pPr>
        <w:rPr>
          <w:lang w:val="el-GR"/>
        </w:rPr>
      </w:pPr>
      <w:r>
        <w:rPr>
          <w:lang w:val="el-GR"/>
        </w:rPr>
        <w:br w:type="page"/>
      </w:r>
    </w:p>
    <w:p w:rsidR="00B2160F" w:rsidRPr="00B2160F" w:rsidRDefault="00B2160F">
      <w:pPr>
        <w:rPr>
          <w:lang w:val="el-GR"/>
        </w:rPr>
      </w:pPr>
    </w:p>
    <w:sectPr w:rsidR="00B2160F" w:rsidRPr="00B2160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160F"/>
    <w:rsid w:val="00134140"/>
    <w:rsid w:val="00565424"/>
    <w:rsid w:val="006F2BF3"/>
    <w:rsid w:val="00790D6E"/>
    <w:rsid w:val="00B2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paragraph" w:styleId="2">
    <w:name w:val="heading 2"/>
    <w:basedOn w:val="a"/>
    <w:next w:val="a"/>
    <w:link w:val="2Char"/>
    <w:uiPriority w:val="9"/>
    <w:qFormat/>
    <w:rsid w:val="00B2160F"/>
    <w:pPr>
      <w:keepNext/>
      <w:numPr>
        <w:numId w:val="1"/>
      </w:num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2160F"/>
    <w:rPr>
      <w:rFonts w:ascii="Arial" w:eastAsia="Andale Sans UI" w:hAnsi="Arial" w:cs="Arial"/>
      <w:b/>
      <w:kern w:val="1"/>
      <w:sz w:val="24"/>
      <w:szCs w:val="24"/>
      <w:lang w:val="en-US" w:eastAsia="zh-CN"/>
    </w:rPr>
  </w:style>
  <w:style w:type="paragraph" w:customStyle="1" w:styleId="normalwithoutspacing">
    <w:name w:val="normal_without_spacing"/>
    <w:basedOn w:val="a"/>
    <w:rsid w:val="00B2160F"/>
    <w:pPr>
      <w:widowControl/>
      <w:spacing w:after="60"/>
      <w:jc w:val="both"/>
    </w:pPr>
    <w:rPr>
      <w:rFonts w:ascii="Calibri" w:eastAsia="Times New Roman" w:hAnsi="Calibri" w:cs="Calibri"/>
      <w:kern w:val="0"/>
      <w:sz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4083</Characters>
  <Application>Microsoft Office Word</Application>
  <DocSecurity>0</DocSecurity>
  <Lines>34</Lines>
  <Paragraphs>9</Paragraphs>
  <ScaleCrop>false</ScaleCrop>
  <Company>Grizli777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2017-12-06T07:49:00Z</dcterms:created>
  <dcterms:modified xsi:type="dcterms:W3CDTF">2017-12-06T07:50:00Z</dcterms:modified>
</cp:coreProperties>
</file>